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40" w:lineRule="exact"/>
        <w:jc w:val="left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</w:rPr>
        <w:t>附件1：</w:t>
      </w:r>
    </w:p>
    <w:p>
      <w:pPr>
        <w:pStyle w:val="3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资格条件及个性化条件一览表</w:t>
      </w:r>
      <w:bookmarkEnd w:id="0"/>
    </w:p>
    <w:tbl>
      <w:tblPr>
        <w:tblStyle w:val="4"/>
        <w:tblW w:w="9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8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68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ind w:firstLine="241" w:firstLineChars="100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802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个性化条件及要求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668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汝城农商银行</w:t>
            </w:r>
          </w:p>
        </w:tc>
        <w:tc>
          <w:tcPr>
            <w:tcW w:w="8029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312"/>
              </w:tabs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综合柜员岗</w:t>
            </w:r>
            <w:r>
              <w:rPr>
                <w:rFonts w:ascii="宋体" w:hAnsi="宋体" w:cs="宋体"/>
                <w:sz w:val="24"/>
                <w:szCs w:val="24"/>
              </w:rPr>
              <w:t>14</w:t>
            </w:r>
            <w:r>
              <w:rPr>
                <w:rFonts w:hint="eastAsia" w:ascii="宋体" w:hAnsi="宋体" w:cs="宋体"/>
                <w:sz w:val="24"/>
                <w:szCs w:val="24"/>
              </w:rPr>
              <w:t>人。不限性别，不限专业；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身高要求：男性净身高166cm及以上，女性净身高156cm及以上；</w:t>
            </w:r>
          </w:p>
          <w:p>
            <w:pPr>
              <w:tabs>
                <w:tab w:val="left" w:pos="312"/>
              </w:tabs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综合成绩并列时汝城户籍优先；</w:t>
            </w:r>
          </w:p>
          <w:p>
            <w:pPr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服务年限：最低服务年限不得低于4年。</w:t>
            </w:r>
          </w:p>
        </w:tc>
      </w:tr>
    </w:tbl>
    <w:p>
      <w:pPr>
        <w:pStyle w:val="2"/>
        <w:spacing w:line="560" w:lineRule="exact"/>
        <w:rPr>
          <w:rFonts w:ascii="宋体" w:hAnsi="宋体" w:eastAsia="宋体" w:cs="仿宋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991586"/>
    <w:multiLevelType w:val="multilevel"/>
    <w:tmpl w:val="6F99158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3082713E"/>
    <w:rsid w:val="3082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2023-03-14T09:58:00Z</dcterms:created>
  <dc:creator>一闪一闪✨亮✨晶晶</dc:creator>
  <cp:lastModifiedBy>一闪一闪✨亮✨晶晶</cp:lastModifiedBy>
  <dcterms:modified xsi:type="dcterms:W3CDTF">2023-03-14T09:58:46Z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A3E44063F258454391FF25CB42EDA00B</vt:lpwstr>
  </property>
</Properties>
</file>